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9E" w:rsidRPr="00ED0082" w:rsidRDefault="0060219E" w:rsidP="00ED0082">
      <w:pPr>
        <w:widowControl w:val="0"/>
        <w:spacing w:line="240" w:lineRule="auto"/>
        <w:rPr>
          <w:rFonts w:ascii="Arial" w:hAnsi="Arial" w:cs="Arial"/>
          <w:sz w:val="32"/>
          <w:szCs w:val="32"/>
        </w:rPr>
      </w:pPr>
      <w:bookmarkStart w:id="0" w:name="_GoBack"/>
      <w:bookmarkEnd w:id="0"/>
      <w:r w:rsidRPr="00ED0082">
        <w:rPr>
          <w:rFonts w:ascii="Arial" w:hAnsi="Arial" w:cs="Arial"/>
          <w:sz w:val="32"/>
          <w:szCs w:val="3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0219E" w:rsidRPr="00ED0082" w:rsidRDefault="0060219E" w:rsidP="00ED0082">
      <w:pPr>
        <w:pStyle w:val="Default"/>
        <w:spacing w:after="120"/>
        <w:rPr>
          <w:rFonts w:ascii="Arial" w:hAnsi="Arial" w:cs="Arial"/>
          <w:sz w:val="32"/>
          <w:szCs w:val="32"/>
        </w:rPr>
      </w:pPr>
      <w:r w:rsidRPr="00ED0082">
        <w:rPr>
          <w:rFonts w:ascii="Arial" w:hAnsi="Arial" w:cs="Arial"/>
          <w:sz w:val="32"/>
          <w:szCs w:val="3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0219E" w:rsidRPr="00ED0082" w:rsidRDefault="0060219E" w:rsidP="00ED0082">
      <w:pPr>
        <w:pStyle w:val="Default"/>
        <w:spacing w:after="120"/>
        <w:rPr>
          <w:rFonts w:ascii="Arial" w:hAnsi="Arial" w:cs="Arial"/>
          <w:sz w:val="32"/>
          <w:szCs w:val="32"/>
        </w:rPr>
      </w:pPr>
      <w:r w:rsidRPr="00ED0082">
        <w:rPr>
          <w:rFonts w:ascii="Arial" w:hAnsi="Arial" w:cs="Arial"/>
          <w:sz w:val="32"/>
          <w:szCs w:val="32"/>
        </w:rPr>
        <w:t xml:space="preserve">To file a program complaint of discrimination, complete the USDA Program Discrimination Complaint Form, (AD-3027) found online at: </w:t>
      </w:r>
      <w:hyperlink r:id="rId7" w:history="1">
        <w:r w:rsidRPr="00ED0082">
          <w:rPr>
            <w:rStyle w:val="Hyperlink"/>
            <w:rFonts w:ascii="Arial" w:hAnsi="Arial" w:cs="Arial"/>
            <w:sz w:val="32"/>
            <w:szCs w:val="32"/>
          </w:rPr>
          <w:t>http://www.ascr.usda.gov/complaint_filing_cust.html</w:t>
        </w:r>
      </w:hyperlink>
      <w:r w:rsidRPr="00ED0082">
        <w:rPr>
          <w:rFonts w:ascii="Arial" w:hAnsi="Arial" w:cs="Arial"/>
          <w:sz w:val="32"/>
          <w:szCs w:val="32"/>
        </w:rPr>
        <w:t>, and at any USDA office, or write a letter addressed to USDA and provide in the letter all of the information requested in the form. To request a copy of the complaint form, call (866) 632-9992. Submit your completed form or letter to USDA by:</w:t>
      </w:r>
    </w:p>
    <w:p w:rsidR="0060219E" w:rsidRPr="00ED0082" w:rsidRDefault="0060219E" w:rsidP="00ED0082">
      <w:pPr>
        <w:pStyle w:val="Default"/>
        <w:tabs>
          <w:tab w:val="left" w:pos="630"/>
        </w:tabs>
        <w:rPr>
          <w:rFonts w:ascii="Arial" w:hAnsi="Arial" w:cs="Arial"/>
          <w:sz w:val="32"/>
          <w:szCs w:val="32"/>
        </w:rPr>
      </w:pPr>
      <w:r w:rsidRPr="00ED0082">
        <w:rPr>
          <w:rFonts w:ascii="Arial" w:hAnsi="Arial" w:cs="Arial"/>
          <w:sz w:val="32"/>
          <w:szCs w:val="32"/>
        </w:rPr>
        <w:t xml:space="preserve">(1) </w:t>
      </w:r>
      <w:r w:rsidRPr="00ED0082">
        <w:rPr>
          <w:rFonts w:ascii="Arial" w:hAnsi="Arial" w:cs="Arial"/>
          <w:sz w:val="32"/>
          <w:szCs w:val="32"/>
        </w:rPr>
        <w:tab/>
      </w:r>
      <w:proofErr w:type="gramStart"/>
      <w:r w:rsidRPr="00ED0082">
        <w:rPr>
          <w:rFonts w:ascii="Arial" w:hAnsi="Arial" w:cs="Arial"/>
          <w:sz w:val="32"/>
          <w:szCs w:val="32"/>
        </w:rPr>
        <w:t>mail</w:t>
      </w:r>
      <w:proofErr w:type="gramEnd"/>
      <w:r w:rsidRPr="00ED0082">
        <w:rPr>
          <w:rFonts w:ascii="Arial" w:hAnsi="Arial" w:cs="Arial"/>
          <w:sz w:val="32"/>
          <w:szCs w:val="32"/>
        </w:rPr>
        <w:t>: U.S. Department of Agriculture</w:t>
      </w:r>
    </w:p>
    <w:p w:rsidR="0060219E" w:rsidRPr="00ED0082" w:rsidRDefault="0060219E" w:rsidP="00ED0082">
      <w:pPr>
        <w:pStyle w:val="Default"/>
        <w:tabs>
          <w:tab w:val="left" w:pos="630"/>
        </w:tabs>
        <w:rPr>
          <w:rFonts w:ascii="Arial" w:hAnsi="Arial" w:cs="Arial"/>
          <w:sz w:val="32"/>
          <w:szCs w:val="32"/>
        </w:rPr>
      </w:pPr>
      <w:r w:rsidRPr="00ED0082">
        <w:rPr>
          <w:rFonts w:ascii="Arial" w:hAnsi="Arial" w:cs="Arial"/>
          <w:sz w:val="32"/>
          <w:szCs w:val="32"/>
        </w:rPr>
        <w:t>Office of the Assistant Secretary for Civil Rights</w:t>
      </w:r>
    </w:p>
    <w:p w:rsidR="0060219E" w:rsidRPr="00ED0082" w:rsidRDefault="0060219E" w:rsidP="00ED0082">
      <w:pPr>
        <w:pStyle w:val="Default"/>
        <w:tabs>
          <w:tab w:val="left" w:pos="630"/>
        </w:tabs>
        <w:rPr>
          <w:rFonts w:ascii="Arial" w:hAnsi="Arial" w:cs="Arial"/>
          <w:sz w:val="32"/>
          <w:szCs w:val="32"/>
        </w:rPr>
      </w:pPr>
      <w:r w:rsidRPr="00ED0082">
        <w:rPr>
          <w:rFonts w:ascii="Arial" w:hAnsi="Arial" w:cs="Arial"/>
          <w:sz w:val="32"/>
          <w:szCs w:val="32"/>
        </w:rPr>
        <w:t>1400 Independence Avenue, SW</w:t>
      </w:r>
    </w:p>
    <w:p w:rsidR="0060219E" w:rsidRPr="00ED0082" w:rsidRDefault="0060219E" w:rsidP="00ED0082">
      <w:pPr>
        <w:pStyle w:val="Default"/>
        <w:tabs>
          <w:tab w:val="left" w:pos="630"/>
        </w:tabs>
        <w:spacing w:after="60"/>
        <w:rPr>
          <w:rFonts w:ascii="Arial" w:hAnsi="Arial" w:cs="Arial"/>
          <w:sz w:val="32"/>
          <w:szCs w:val="32"/>
        </w:rPr>
      </w:pPr>
      <w:r w:rsidRPr="00ED0082">
        <w:rPr>
          <w:rFonts w:ascii="Arial" w:hAnsi="Arial" w:cs="Arial"/>
          <w:sz w:val="32"/>
          <w:szCs w:val="32"/>
        </w:rPr>
        <w:t>Washington, D.C. 20250-9410;</w:t>
      </w:r>
    </w:p>
    <w:p w:rsidR="0060219E" w:rsidRPr="00ED0082" w:rsidRDefault="0060219E" w:rsidP="00ED0082">
      <w:pPr>
        <w:pStyle w:val="Default"/>
        <w:tabs>
          <w:tab w:val="left" w:pos="630"/>
        </w:tabs>
        <w:spacing w:after="120"/>
        <w:rPr>
          <w:rFonts w:ascii="Arial" w:hAnsi="Arial" w:cs="Arial"/>
          <w:sz w:val="32"/>
          <w:szCs w:val="32"/>
        </w:rPr>
      </w:pPr>
      <w:r w:rsidRPr="00ED0082">
        <w:rPr>
          <w:rFonts w:ascii="Arial" w:hAnsi="Arial" w:cs="Arial"/>
          <w:sz w:val="32"/>
          <w:szCs w:val="32"/>
        </w:rPr>
        <w:t xml:space="preserve">(2) </w:t>
      </w:r>
      <w:r w:rsidRPr="00ED0082">
        <w:rPr>
          <w:rFonts w:ascii="Arial" w:hAnsi="Arial" w:cs="Arial"/>
          <w:sz w:val="32"/>
          <w:szCs w:val="32"/>
        </w:rPr>
        <w:tab/>
      </w:r>
      <w:proofErr w:type="gramStart"/>
      <w:r w:rsidRPr="00ED0082">
        <w:rPr>
          <w:rFonts w:ascii="Arial" w:hAnsi="Arial" w:cs="Arial"/>
          <w:sz w:val="32"/>
          <w:szCs w:val="32"/>
        </w:rPr>
        <w:t>fax</w:t>
      </w:r>
      <w:proofErr w:type="gramEnd"/>
      <w:r w:rsidRPr="00ED0082">
        <w:rPr>
          <w:rFonts w:ascii="Arial" w:hAnsi="Arial" w:cs="Arial"/>
          <w:sz w:val="32"/>
          <w:szCs w:val="32"/>
        </w:rPr>
        <w:t>: (202) 690-7442; or</w:t>
      </w:r>
    </w:p>
    <w:p w:rsidR="0060219E" w:rsidRPr="00ED0082" w:rsidRDefault="0060219E" w:rsidP="00ED0082">
      <w:pPr>
        <w:pStyle w:val="Default"/>
        <w:tabs>
          <w:tab w:val="left" w:pos="630"/>
        </w:tabs>
        <w:spacing w:after="120"/>
        <w:rPr>
          <w:rFonts w:ascii="Arial" w:hAnsi="Arial" w:cs="Arial"/>
          <w:sz w:val="32"/>
          <w:szCs w:val="32"/>
        </w:rPr>
      </w:pPr>
      <w:r w:rsidRPr="00ED0082">
        <w:rPr>
          <w:rFonts w:ascii="Arial" w:hAnsi="Arial" w:cs="Arial"/>
          <w:sz w:val="32"/>
          <w:szCs w:val="32"/>
        </w:rPr>
        <w:t xml:space="preserve">(3) </w:t>
      </w:r>
      <w:r w:rsidRPr="00ED0082">
        <w:rPr>
          <w:rFonts w:ascii="Arial" w:hAnsi="Arial" w:cs="Arial"/>
          <w:sz w:val="32"/>
          <w:szCs w:val="32"/>
        </w:rPr>
        <w:tab/>
      </w:r>
      <w:proofErr w:type="gramStart"/>
      <w:r w:rsidRPr="00ED0082">
        <w:rPr>
          <w:rFonts w:ascii="Arial" w:hAnsi="Arial" w:cs="Arial"/>
          <w:sz w:val="32"/>
          <w:szCs w:val="32"/>
        </w:rPr>
        <w:t>email</w:t>
      </w:r>
      <w:proofErr w:type="gramEnd"/>
      <w:r w:rsidRPr="00ED0082">
        <w:rPr>
          <w:rFonts w:ascii="Arial" w:hAnsi="Arial" w:cs="Arial"/>
          <w:sz w:val="32"/>
          <w:szCs w:val="32"/>
        </w:rPr>
        <w:t xml:space="preserve">: </w:t>
      </w:r>
      <w:hyperlink r:id="rId8" w:history="1">
        <w:r w:rsidRPr="00ED0082">
          <w:rPr>
            <w:rStyle w:val="Hyperlink"/>
            <w:rFonts w:ascii="Arial" w:hAnsi="Arial" w:cs="Arial"/>
            <w:sz w:val="32"/>
            <w:szCs w:val="32"/>
          </w:rPr>
          <w:t>program.intake@usda.gov</w:t>
        </w:r>
      </w:hyperlink>
      <w:r w:rsidRPr="00ED0082">
        <w:rPr>
          <w:rFonts w:ascii="Arial" w:hAnsi="Arial" w:cs="Arial"/>
          <w:sz w:val="32"/>
          <w:szCs w:val="32"/>
        </w:rPr>
        <w:t>.</w:t>
      </w:r>
    </w:p>
    <w:p w:rsidR="00D13D50" w:rsidRDefault="0060219E" w:rsidP="00ED0082">
      <w:pPr>
        <w:widowControl w:val="0"/>
        <w:tabs>
          <w:tab w:val="left" w:pos="900"/>
        </w:tabs>
        <w:spacing w:line="286" w:lineRule="auto"/>
        <w:rPr>
          <w:rFonts w:ascii="Arial" w:hAnsi="Arial" w:cs="Arial"/>
          <w:sz w:val="32"/>
          <w:szCs w:val="32"/>
        </w:rPr>
      </w:pPr>
      <w:r w:rsidRPr="00ED0082">
        <w:rPr>
          <w:rFonts w:ascii="Arial" w:hAnsi="Arial" w:cs="Arial"/>
          <w:sz w:val="32"/>
          <w:szCs w:val="32"/>
        </w:rPr>
        <w:t>This institution i</w:t>
      </w:r>
      <w:r w:rsidR="00ED0082">
        <w:rPr>
          <w:rFonts w:ascii="Arial" w:hAnsi="Arial" w:cs="Arial"/>
          <w:sz w:val="32"/>
          <w:szCs w:val="32"/>
        </w:rPr>
        <w:t>s an equal opportunity provider.</w:t>
      </w:r>
    </w:p>
    <w:p w:rsidR="00D13D50" w:rsidRDefault="00D13D50" w:rsidP="00D13D50">
      <w:pPr>
        <w:pStyle w:val="Default"/>
      </w:pPr>
    </w:p>
    <w:p w:rsidR="00D13D50" w:rsidRDefault="00D13D50" w:rsidP="00D13D50">
      <w:pPr>
        <w:pStyle w:val="Default"/>
        <w:jc w:val="center"/>
        <w:rPr>
          <w:rFonts w:ascii="Calibri Light" w:hAnsi="Calibri Light"/>
          <w:b/>
          <w:bCs/>
          <w:i/>
          <w:iCs/>
          <w:sz w:val="32"/>
          <w:szCs w:val="32"/>
        </w:rPr>
      </w:pPr>
    </w:p>
    <w:p w:rsidR="00D13D50" w:rsidRDefault="00D13D50" w:rsidP="00D13D50">
      <w:pPr>
        <w:pStyle w:val="Default"/>
        <w:jc w:val="center"/>
        <w:rPr>
          <w:rFonts w:ascii="Calibri Light" w:hAnsi="Calibri Light"/>
          <w:b/>
          <w:bCs/>
          <w:i/>
          <w:iCs/>
          <w:sz w:val="32"/>
          <w:szCs w:val="32"/>
        </w:rPr>
      </w:pPr>
    </w:p>
    <w:p w:rsidR="00D13D50" w:rsidRPr="00D13D50" w:rsidRDefault="00D13D50" w:rsidP="00D13D50">
      <w:pPr>
        <w:pStyle w:val="Default"/>
        <w:jc w:val="center"/>
        <w:rPr>
          <w:rFonts w:ascii="Calibri Light" w:hAnsi="Calibri Light"/>
          <w:sz w:val="32"/>
          <w:szCs w:val="32"/>
        </w:rPr>
      </w:pPr>
      <w:r w:rsidRPr="00D13D50">
        <w:rPr>
          <w:rFonts w:ascii="Calibri Light" w:hAnsi="Calibri Light"/>
          <w:b/>
          <w:bCs/>
          <w:i/>
          <w:iCs/>
          <w:sz w:val="32"/>
          <w:szCs w:val="32"/>
        </w:rPr>
        <w:lastRenderedPageBreak/>
        <w:t>The Emergency Food Assistance Program (TEFAP)</w:t>
      </w:r>
    </w:p>
    <w:p w:rsidR="00D13D50" w:rsidRPr="00D13D50" w:rsidRDefault="00D13D50" w:rsidP="00D13D50">
      <w:pPr>
        <w:pStyle w:val="Default"/>
        <w:jc w:val="center"/>
        <w:rPr>
          <w:rFonts w:ascii="Calibri Light" w:hAnsi="Calibri Light"/>
          <w:sz w:val="28"/>
          <w:szCs w:val="28"/>
        </w:rPr>
      </w:pPr>
      <w:r w:rsidRPr="00D13D50">
        <w:rPr>
          <w:rFonts w:ascii="Calibri Light" w:hAnsi="Calibri Light"/>
          <w:b/>
          <w:bCs/>
          <w:sz w:val="28"/>
          <w:szCs w:val="28"/>
        </w:rPr>
        <w:t>2015 Income Eligibility Guidelines</w:t>
      </w:r>
    </w:p>
    <w:p w:rsidR="00D13D50" w:rsidRPr="00D13D50" w:rsidRDefault="00D13D50" w:rsidP="00D13D50">
      <w:pPr>
        <w:pStyle w:val="Default"/>
        <w:jc w:val="center"/>
        <w:rPr>
          <w:rFonts w:ascii="Calibri Light" w:hAnsi="Calibri Light"/>
          <w:b/>
          <w:bCs/>
          <w:sz w:val="28"/>
          <w:szCs w:val="28"/>
        </w:rPr>
      </w:pPr>
      <w:r w:rsidRPr="00D13D50">
        <w:rPr>
          <w:rFonts w:ascii="Calibri Light" w:hAnsi="Calibri Light"/>
          <w:b/>
          <w:bCs/>
          <w:sz w:val="28"/>
          <w:szCs w:val="28"/>
        </w:rPr>
        <w:t>July 1, 2015 through June 30, 2016</w:t>
      </w:r>
    </w:p>
    <w:p w:rsidR="00D13D50" w:rsidRPr="00D13D50" w:rsidRDefault="00D13D50" w:rsidP="00D13D50">
      <w:pPr>
        <w:pStyle w:val="Default"/>
        <w:rPr>
          <w:rFonts w:ascii="Calibri Light" w:hAnsi="Calibri Light"/>
          <w:b/>
          <w:bCs/>
          <w:sz w:val="28"/>
          <w:szCs w:val="28"/>
        </w:rPr>
      </w:pPr>
    </w:p>
    <w:p w:rsidR="00D13D50" w:rsidRPr="00D13D50" w:rsidRDefault="00D13D50" w:rsidP="00D13D50">
      <w:pPr>
        <w:pStyle w:val="Default"/>
        <w:jc w:val="center"/>
        <w:rPr>
          <w:rFonts w:ascii="Calibri Light" w:hAnsi="Calibri Light"/>
          <w:b/>
          <w:bCs/>
          <w:sz w:val="28"/>
          <w:szCs w:val="28"/>
        </w:rPr>
      </w:pPr>
      <w:r w:rsidRPr="00D13D50">
        <w:rPr>
          <w:rFonts w:ascii="Calibri Light" w:hAnsi="Calibri Light"/>
          <w:b/>
          <w:bCs/>
          <w:sz w:val="28"/>
          <w:szCs w:val="28"/>
        </w:rPr>
        <w:t>Please use the following figures when determining if recipients are eligible to receive USDA commodity foods under The Emergency Food Assistance Program (TEFAP)</w:t>
      </w:r>
    </w:p>
    <w:p w:rsidR="00D13D50" w:rsidRPr="00D13D50" w:rsidRDefault="00D13D50" w:rsidP="00D13D50">
      <w:pPr>
        <w:pStyle w:val="Default"/>
        <w:jc w:val="center"/>
        <w:rPr>
          <w:rFonts w:ascii="Calibri Light" w:hAnsi="Calibri Light"/>
          <w:b/>
          <w:bCs/>
          <w:sz w:val="28"/>
          <w:szCs w:val="28"/>
        </w:rPr>
      </w:pPr>
    </w:p>
    <w:p w:rsidR="00D13D50" w:rsidRPr="00D13D50" w:rsidRDefault="00D13D50" w:rsidP="00D13D50">
      <w:pPr>
        <w:pStyle w:val="Default"/>
        <w:rPr>
          <w:rFonts w:ascii="Calibri Light" w:hAnsi="Calibri Light"/>
          <w:bCs/>
          <w:sz w:val="22"/>
          <w:szCs w:val="28"/>
        </w:rPr>
      </w:pPr>
      <w:r w:rsidRPr="00D13D50">
        <w:rPr>
          <w:rFonts w:ascii="Calibri Light" w:hAnsi="Calibri Light"/>
          <w:bCs/>
          <w:sz w:val="22"/>
          <w:szCs w:val="28"/>
        </w:rPr>
        <w:t>Revised June 2015</w:t>
      </w:r>
    </w:p>
    <w:p w:rsidR="00D13D50" w:rsidRPr="00D13D50" w:rsidRDefault="00D13D50" w:rsidP="00D13D50">
      <w:pPr>
        <w:pStyle w:val="Default"/>
        <w:rPr>
          <w:rFonts w:ascii="Calibri Light" w:hAnsi="Calibri Light"/>
          <w:b/>
          <w:bCs/>
          <w:sz w:val="28"/>
          <w:szCs w:val="28"/>
        </w:rPr>
      </w:pPr>
    </w:p>
    <w:tbl>
      <w:tblPr>
        <w:tblpPr w:leftFromText="180" w:rightFromText="180" w:vertAnchor="text" w:tblpX="124" w:tblpY="-374"/>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100"/>
        <w:gridCol w:w="2430"/>
        <w:gridCol w:w="2790"/>
      </w:tblGrid>
      <w:tr w:rsidR="00D13D50" w:rsidTr="00607573">
        <w:trPr>
          <w:trHeight w:val="1140"/>
        </w:trPr>
        <w:tc>
          <w:tcPr>
            <w:tcW w:w="2280" w:type="dxa"/>
          </w:tcPr>
          <w:p w:rsidR="00D13D50" w:rsidRDefault="00D13D50" w:rsidP="00607573">
            <w:pPr>
              <w:jc w:val="center"/>
              <w:rPr>
                <w:sz w:val="28"/>
              </w:rPr>
            </w:pPr>
          </w:p>
          <w:p w:rsidR="00D13D50" w:rsidRPr="00675A85" w:rsidRDefault="00D13D50" w:rsidP="00607573">
            <w:pPr>
              <w:jc w:val="center"/>
              <w:rPr>
                <w:b/>
              </w:rPr>
            </w:pPr>
            <w:r w:rsidRPr="00675A85">
              <w:rPr>
                <w:b/>
                <w:sz w:val="28"/>
              </w:rPr>
              <w:t># of Household Members</w:t>
            </w:r>
          </w:p>
        </w:tc>
        <w:tc>
          <w:tcPr>
            <w:tcW w:w="2100" w:type="dxa"/>
          </w:tcPr>
          <w:p w:rsidR="00D13D50" w:rsidRDefault="00D13D50" w:rsidP="00607573">
            <w:pPr>
              <w:jc w:val="center"/>
              <w:rPr>
                <w:sz w:val="28"/>
              </w:rPr>
            </w:pPr>
          </w:p>
          <w:p w:rsidR="00D13D50" w:rsidRPr="00675A85" w:rsidRDefault="00D13D50" w:rsidP="00607573">
            <w:pPr>
              <w:jc w:val="center"/>
              <w:rPr>
                <w:b/>
                <w:sz w:val="28"/>
              </w:rPr>
            </w:pPr>
            <w:r w:rsidRPr="00675A85">
              <w:rPr>
                <w:b/>
                <w:sz w:val="28"/>
              </w:rPr>
              <w:t>Annual</w:t>
            </w:r>
          </w:p>
        </w:tc>
        <w:tc>
          <w:tcPr>
            <w:tcW w:w="2430" w:type="dxa"/>
          </w:tcPr>
          <w:p w:rsidR="00D13D50" w:rsidRDefault="00D13D50" w:rsidP="00607573">
            <w:pPr>
              <w:jc w:val="center"/>
              <w:rPr>
                <w:sz w:val="28"/>
              </w:rPr>
            </w:pPr>
          </w:p>
          <w:p w:rsidR="00D13D50" w:rsidRPr="00675A85" w:rsidRDefault="00D13D50" w:rsidP="00607573">
            <w:pPr>
              <w:jc w:val="center"/>
              <w:rPr>
                <w:b/>
                <w:sz w:val="28"/>
              </w:rPr>
            </w:pPr>
            <w:r w:rsidRPr="00675A85">
              <w:rPr>
                <w:b/>
                <w:sz w:val="28"/>
              </w:rPr>
              <w:t>Monthly</w:t>
            </w:r>
          </w:p>
        </w:tc>
        <w:tc>
          <w:tcPr>
            <w:tcW w:w="2790" w:type="dxa"/>
          </w:tcPr>
          <w:p w:rsidR="00D13D50" w:rsidRDefault="00D13D50" w:rsidP="00607573">
            <w:pPr>
              <w:jc w:val="center"/>
              <w:rPr>
                <w:sz w:val="28"/>
              </w:rPr>
            </w:pPr>
          </w:p>
          <w:p w:rsidR="00D13D50" w:rsidRPr="00675A85" w:rsidRDefault="00D13D50" w:rsidP="00607573">
            <w:pPr>
              <w:jc w:val="center"/>
              <w:rPr>
                <w:b/>
                <w:sz w:val="28"/>
              </w:rPr>
            </w:pPr>
            <w:r w:rsidRPr="00675A85">
              <w:rPr>
                <w:b/>
                <w:sz w:val="28"/>
              </w:rPr>
              <w:t>Weekly</w:t>
            </w:r>
          </w:p>
        </w:tc>
      </w:tr>
      <w:tr w:rsidR="00D13D50" w:rsidRPr="009D3BBD" w:rsidTr="00607573">
        <w:trPr>
          <w:trHeight w:val="705"/>
        </w:trPr>
        <w:tc>
          <w:tcPr>
            <w:tcW w:w="2280" w:type="dxa"/>
          </w:tcPr>
          <w:p w:rsidR="00D13D50" w:rsidRPr="00675A85" w:rsidRDefault="00D13D50" w:rsidP="00607573">
            <w:pPr>
              <w:jc w:val="center"/>
              <w:rPr>
                <w:sz w:val="28"/>
              </w:rPr>
            </w:pPr>
            <w:r w:rsidRPr="00675A85">
              <w:rPr>
                <w:sz w:val="28"/>
              </w:rPr>
              <w:t>1</w:t>
            </w:r>
          </w:p>
        </w:tc>
        <w:tc>
          <w:tcPr>
            <w:tcW w:w="2100" w:type="dxa"/>
          </w:tcPr>
          <w:p w:rsidR="00D13D50" w:rsidRPr="009D3BBD" w:rsidRDefault="00D13D50" w:rsidP="00607573">
            <w:pPr>
              <w:jc w:val="center"/>
              <w:rPr>
                <w:sz w:val="24"/>
              </w:rPr>
            </w:pPr>
            <w:r>
              <w:rPr>
                <w:sz w:val="24"/>
              </w:rPr>
              <w:t>$21,775</w:t>
            </w:r>
          </w:p>
        </w:tc>
        <w:tc>
          <w:tcPr>
            <w:tcW w:w="2430" w:type="dxa"/>
          </w:tcPr>
          <w:p w:rsidR="00D13D50" w:rsidRPr="009D3BBD" w:rsidRDefault="00D13D50" w:rsidP="00607573">
            <w:pPr>
              <w:jc w:val="center"/>
              <w:rPr>
                <w:sz w:val="24"/>
              </w:rPr>
            </w:pPr>
            <w:r>
              <w:rPr>
                <w:sz w:val="24"/>
              </w:rPr>
              <w:t>$1,815</w:t>
            </w:r>
          </w:p>
        </w:tc>
        <w:tc>
          <w:tcPr>
            <w:tcW w:w="2790" w:type="dxa"/>
          </w:tcPr>
          <w:p w:rsidR="00D13D50" w:rsidRPr="009D3BBD" w:rsidRDefault="00D13D50" w:rsidP="00607573">
            <w:pPr>
              <w:jc w:val="center"/>
              <w:rPr>
                <w:sz w:val="24"/>
              </w:rPr>
            </w:pPr>
            <w:r>
              <w:rPr>
                <w:sz w:val="24"/>
              </w:rPr>
              <w:t>$419</w:t>
            </w:r>
          </w:p>
        </w:tc>
      </w:tr>
      <w:tr w:rsidR="00D13D50" w:rsidRPr="009D3BBD" w:rsidTr="00607573">
        <w:trPr>
          <w:trHeight w:val="600"/>
        </w:trPr>
        <w:tc>
          <w:tcPr>
            <w:tcW w:w="2280" w:type="dxa"/>
          </w:tcPr>
          <w:p w:rsidR="00D13D50" w:rsidRPr="00675A85" w:rsidRDefault="00D13D50" w:rsidP="00607573">
            <w:pPr>
              <w:jc w:val="center"/>
              <w:rPr>
                <w:sz w:val="24"/>
              </w:rPr>
            </w:pPr>
            <w:r w:rsidRPr="00675A85">
              <w:rPr>
                <w:sz w:val="24"/>
              </w:rPr>
              <w:t>2</w:t>
            </w:r>
          </w:p>
        </w:tc>
        <w:tc>
          <w:tcPr>
            <w:tcW w:w="2100" w:type="dxa"/>
          </w:tcPr>
          <w:p w:rsidR="00D13D50" w:rsidRPr="009D3BBD" w:rsidRDefault="00D13D50" w:rsidP="00607573">
            <w:pPr>
              <w:jc w:val="center"/>
              <w:rPr>
                <w:sz w:val="24"/>
              </w:rPr>
            </w:pPr>
            <w:r>
              <w:rPr>
                <w:sz w:val="24"/>
              </w:rPr>
              <w:t>$29,471</w:t>
            </w:r>
          </w:p>
        </w:tc>
        <w:tc>
          <w:tcPr>
            <w:tcW w:w="2430" w:type="dxa"/>
          </w:tcPr>
          <w:p w:rsidR="00D13D50" w:rsidRPr="009D3BBD" w:rsidRDefault="00D13D50" w:rsidP="00607573">
            <w:pPr>
              <w:jc w:val="center"/>
              <w:rPr>
                <w:sz w:val="24"/>
              </w:rPr>
            </w:pPr>
            <w:r>
              <w:rPr>
                <w:sz w:val="24"/>
              </w:rPr>
              <w:t>$2,456</w:t>
            </w:r>
          </w:p>
        </w:tc>
        <w:tc>
          <w:tcPr>
            <w:tcW w:w="2790" w:type="dxa"/>
          </w:tcPr>
          <w:p w:rsidR="00D13D50" w:rsidRPr="009D3BBD" w:rsidRDefault="00D13D50" w:rsidP="00607573">
            <w:pPr>
              <w:jc w:val="center"/>
              <w:rPr>
                <w:sz w:val="24"/>
              </w:rPr>
            </w:pPr>
            <w:r>
              <w:rPr>
                <w:sz w:val="24"/>
              </w:rPr>
              <w:t>$567</w:t>
            </w:r>
          </w:p>
        </w:tc>
      </w:tr>
      <w:tr w:rsidR="00D13D50" w:rsidRPr="009D3BBD" w:rsidTr="00607573">
        <w:trPr>
          <w:trHeight w:val="585"/>
        </w:trPr>
        <w:tc>
          <w:tcPr>
            <w:tcW w:w="2280" w:type="dxa"/>
          </w:tcPr>
          <w:p w:rsidR="00D13D50" w:rsidRPr="00675A85" w:rsidRDefault="00D13D50" w:rsidP="00607573">
            <w:pPr>
              <w:jc w:val="center"/>
              <w:rPr>
                <w:sz w:val="24"/>
              </w:rPr>
            </w:pPr>
            <w:r w:rsidRPr="00675A85">
              <w:rPr>
                <w:sz w:val="24"/>
              </w:rPr>
              <w:t>3</w:t>
            </w:r>
          </w:p>
        </w:tc>
        <w:tc>
          <w:tcPr>
            <w:tcW w:w="2100" w:type="dxa"/>
          </w:tcPr>
          <w:p w:rsidR="00D13D50" w:rsidRPr="009D3BBD" w:rsidRDefault="00D13D50" w:rsidP="00607573">
            <w:pPr>
              <w:jc w:val="center"/>
              <w:rPr>
                <w:sz w:val="24"/>
              </w:rPr>
            </w:pPr>
            <w:r>
              <w:rPr>
                <w:sz w:val="24"/>
              </w:rPr>
              <w:t>$37,167</w:t>
            </w:r>
          </w:p>
        </w:tc>
        <w:tc>
          <w:tcPr>
            <w:tcW w:w="2430" w:type="dxa"/>
          </w:tcPr>
          <w:p w:rsidR="00D13D50" w:rsidRPr="009D3BBD" w:rsidRDefault="00D13D50" w:rsidP="00607573">
            <w:pPr>
              <w:jc w:val="center"/>
              <w:rPr>
                <w:sz w:val="24"/>
              </w:rPr>
            </w:pPr>
            <w:r>
              <w:rPr>
                <w:sz w:val="24"/>
              </w:rPr>
              <w:t>$3,098</w:t>
            </w:r>
          </w:p>
        </w:tc>
        <w:tc>
          <w:tcPr>
            <w:tcW w:w="2790" w:type="dxa"/>
          </w:tcPr>
          <w:p w:rsidR="00D13D50" w:rsidRPr="009D3BBD" w:rsidRDefault="00D13D50" w:rsidP="00607573">
            <w:pPr>
              <w:jc w:val="center"/>
              <w:rPr>
                <w:sz w:val="24"/>
              </w:rPr>
            </w:pPr>
            <w:r>
              <w:rPr>
                <w:sz w:val="24"/>
              </w:rPr>
              <w:t>$715</w:t>
            </w:r>
          </w:p>
        </w:tc>
      </w:tr>
      <w:tr w:rsidR="00D13D50" w:rsidRPr="009D3BBD" w:rsidTr="00607573">
        <w:trPr>
          <w:trHeight w:val="705"/>
        </w:trPr>
        <w:tc>
          <w:tcPr>
            <w:tcW w:w="2280" w:type="dxa"/>
          </w:tcPr>
          <w:p w:rsidR="00D13D50" w:rsidRPr="00675A85" w:rsidRDefault="00D13D50" w:rsidP="00607573">
            <w:pPr>
              <w:jc w:val="center"/>
              <w:rPr>
                <w:sz w:val="24"/>
              </w:rPr>
            </w:pPr>
            <w:r w:rsidRPr="00675A85">
              <w:rPr>
                <w:sz w:val="24"/>
              </w:rPr>
              <w:t>4</w:t>
            </w:r>
          </w:p>
        </w:tc>
        <w:tc>
          <w:tcPr>
            <w:tcW w:w="2100" w:type="dxa"/>
          </w:tcPr>
          <w:p w:rsidR="00D13D50" w:rsidRPr="009D3BBD" w:rsidRDefault="00D13D50" w:rsidP="00607573">
            <w:pPr>
              <w:jc w:val="center"/>
              <w:rPr>
                <w:sz w:val="24"/>
              </w:rPr>
            </w:pPr>
            <w:r>
              <w:rPr>
                <w:sz w:val="24"/>
              </w:rPr>
              <w:t>$44,863</w:t>
            </w:r>
          </w:p>
        </w:tc>
        <w:tc>
          <w:tcPr>
            <w:tcW w:w="2430" w:type="dxa"/>
          </w:tcPr>
          <w:p w:rsidR="00D13D50" w:rsidRPr="009D3BBD" w:rsidRDefault="00D13D50" w:rsidP="00607573">
            <w:pPr>
              <w:jc w:val="center"/>
              <w:rPr>
                <w:sz w:val="24"/>
              </w:rPr>
            </w:pPr>
            <w:r>
              <w:rPr>
                <w:sz w:val="24"/>
              </w:rPr>
              <w:t>$3,739</w:t>
            </w:r>
          </w:p>
        </w:tc>
        <w:tc>
          <w:tcPr>
            <w:tcW w:w="2790" w:type="dxa"/>
          </w:tcPr>
          <w:p w:rsidR="00D13D50" w:rsidRPr="009D3BBD" w:rsidRDefault="00D13D50" w:rsidP="00607573">
            <w:pPr>
              <w:jc w:val="center"/>
              <w:rPr>
                <w:sz w:val="24"/>
              </w:rPr>
            </w:pPr>
            <w:r>
              <w:rPr>
                <w:sz w:val="24"/>
              </w:rPr>
              <w:t>$863</w:t>
            </w:r>
          </w:p>
        </w:tc>
      </w:tr>
      <w:tr w:rsidR="00D13D50" w:rsidRPr="009D3BBD" w:rsidTr="00607573">
        <w:trPr>
          <w:trHeight w:val="765"/>
        </w:trPr>
        <w:tc>
          <w:tcPr>
            <w:tcW w:w="2280" w:type="dxa"/>
          </w:tcPr>
          <w:p w:rsidR="00D13D50" w:rsidRPr="00675A85" w:rsidRDefault="00D13D50" w:rsidP="00607573">
            <w:pPr>
              <w:jc w:val="center"/>
              <w:rPr>
                <w:sz w:val="24"/>
              </w:rPr>
            </w:pPr>
            <w:r w:rsidRPr="00675A85">
              <w:rPr>
                <w:sz w:val="24"/>
              </w:rPr>
              <w:t>5</w:t>
            </w:r>
          </w:p>
        </w:tc>
        <w:tc>
          <w:tcPr>
            <w:tcW w:w="2100" w:type="dxa"/>
          </w:tcPr>
          <w:p w:rsidR="00D13D50" w:rsidRPr="009D3BBD" w:rsidRDefault="00D13D50" w:rsidP="00607573">
            <w:pPr>
              <w:jc w:val="center"/>
              <w:rPr>
                <w:sz w:val="24"/>
              </w:rPr>
            </w:pPr>
            <w:r>
              <w:rPr>
                <w:sz w:val="24"/>
              </w:rPr>
              <w:t>$52,559</w:t>
            </w:r>
          </w:p>
        </w:tc>
        <w:tc>
          <w:tcPr>
            <w:tcW w:w="2430" w:type="dxa"/>
          </w:tcPr>
          <w:p w:rsidR="00D13D50" w:rsidRPr="009D3BBD" w:rsidRDefault="00D13D50" w:rsidP="00607573">
            <w:pPr>
              <w:jc w:val="center"/>
              <w:rPr>
                <w:sz w:val="24"/>
              </w:rPr>
            </w:pPr>
            <w:r>
              <w:rPr>
                <w:sz w:val="24"/>
              </w:rPr>
              <w:t>$4,380</w:t>
            </w:r>
          </w:p>
        </w:tc>
        <w:tc>
          <w:tcPr>
            <w:tcW w:w="2790" w:type="dxa"/>
          </w:tcPr>
          <w:p w:rsidR="00D13D50" w:rsidRPr="009D3BBD" w:rsidRDefault="00D13D50" w:rsidP="00607573">
            <w:pPr>
              <w:jc w:val="center"/>
              <w:rPr>
                <w:sz w:val="24"/>
              </w:rPr>
            </w:pPr>
            <w:r>
              <w:rPr>
                <w:sz w:val="24"/>
              </w:rPr>
              <w:t>$1,011</w:t>
            </w:r>
          </w:p>
        </w:tc>
      </w:tr>
      <w:tr w:rsidR="00D13D50" w:rsidRPr="009D3BBD" w:rsidTr="00607573">
        <w:trPr>
          <w:trHeight w:val="647"/>
        </w:trPr>
        <w:tc>
          <w:tcPr>
            <w:tcW w:w="2280" w:type="dxa"/>
          </w:tcPr>
          <w:p w:rsidR="00D13D50" w:rsidRPr="00675A85" w:rsidRDefault="00D13D50" w:rsidP="00607573">
            <w:pPr>
              <w:jc w:val="center"/>
              <w:rPr>
                <w:sz w:val="24"/>
              </w:rPr>
            </w:pPr>
            <w:r w:rsidRPr="00675A85">
              <w:rPr>
                <w:sz w:val="24"/>
              </w:rPr>
              <w:t>6</w:t>
            </w:r>
          </w:p>
        </w:tc>
        <w:tc>
          <w:tcPr>
            <w:tcW w:w="2100" w:type="dxa"/>
          </w:tcPr>
          <w:p w:rsidR="00D13D50" w:rsidRPr="009D3BBD" w:rsidRDefault="00D13D50" w:rsidP="00607573">
            <w:pPr>
              <w:jc w:val="center"/>
              <w:rPr>
                <w:sz w:val="24"/>
              </w:rPr>
            </w:pPr>
            <w:r>
              <w:rPr>
                <w:sz w:val="24"/>
              </w:rPr>
              <w:t>$60,255</w:t>
            </w:r>
          </w:p>
        </w:tc>
        <w:tc>
          <w:tcPr>
            <w:tcW w:w="2430" w:type="dxa"/>
          </w:tcPr>
          <w:p w:rsidR="00D13D50" w:rsidRPr="009D3BBD" w:rsidRDefault="00D13D50" w:rsidP="00607573">
            <w:pPr>
              <w:jc w:val="center"/>
              <w:rPr>
                <w:sz w:val="24"/>
              </w:rPr>
            </w:pPr>
            <w:r>
              <w:rPr>
                <w:sz w:val="24"/>
              </w:rPr>
              <w:t>$5,022</w:t>
            </w:r>
          </w:p>
        </w:tc>
        <w:tc>
          <w:tcPr>
            <w:tcW w:w="2790" w:type="dxa"/>
          </w:tcPr>
          <w:p w:rsidR="00D13D50" w:rsidRPr="009D3BBD" w:rsidRDefault="00D13D50" w:rsidP="00607573">
            <w:pPr>
              <w:jc w:val="center"/>
              <w:rPr>
                <w:sz w:val="24"/>
              </w:rPr>
            </w:pPr>
            <w:r>
              <w:rPr>
                <w:sz w:val="24"/>
              </w:rPr>
              <w:t>$1,159</w:t>
            </w:r>
          </w:p>
        </w:tc>
      </w:tr>
      <w:tr w:rsidR="00D13D50" w:rsidRPr="009D3BBD" w:rsidTr="00607573">
        <w:trPr>
          <w:trHeight w:val="630"/>
        </w:trPr>
        <w:tc>
          <w:tcPr>
            <w:tcW w:w="2280" w:type="dxa"/>
          </w:tcPr>
          <w:p w:rsidR="00D13D50" w:rsidRPr="00675A85" w:rsidRDefault="00D13D50" w:rsidP="00607573">
            <w:pPr>
              <w:jc w:val="center"/>
              <w:rPr>
                <w:sz w:val="24"/>
              </w:rPr>
            </w:pPr>
            <w:r w:rsidRPr="00675A85">
              <w:rPr>
                <w:sz w:val="24"/>
              </w:rPr>
              <w:t>7</w:t>
            </w:r>
          </w:p>
        </w:tc>
        <w:tc>
          <w:tcPr>
            <w:tcW w:w="2100" w:type="dxa"/>
          </w:tcPr>
          <w:p w:rsidR="00D13D50" w:rsidRPr="009D3BBD" w:rsidRDefault="00D13D50" w:rsidP="00607573">
            <w:pPr>
              <w:jc w:val="center"/>
              <w:rPr>
                <w:sz w:val="24"/>
              </w:rPr>
            </w:pPr>
            <w:r>
              <w:rPr>
                <w:sz w:val="24"/>
              </w:rPr>
              <w:t>$67,951</w:t>
            </w:r>
          </w:p>
        </w:tc>
        <w:tc>
          <w:tcPr>
            <w:tcW w:w="2430" w:type="dxa"/>
          </w:tcPr>
          <w:p w:rsidR="00D13D50" w:rsidRPr="009D3BBD" w:rsidRDefault="00D13D50" w:rsidP="00607573">
            <w:pPr>
              <w:jc w:val="center"/>
              <w:rPr>
                <w:sz w:val="24"/>
              </w:rPr>
            </w:pPr>
            <w:r>
              <w:rPr>
                <w:sz w:val="24"/>
              </w:rPr>
              <w:t>$5,663</w:t>
            </w:r>
          </w:p>
        </w:tc>
        <w:tc>
          <w:tcPr>
            <w:tcW w:w="2790" w:type="dxa"/>
          </w:tcPr>
          <w:p w:rsidR="00D13D50" w:rsidRPr="009D3BBD" w:rsidRDefault="00D13D50" w:rsidP="00607573">
            <w:pPr>
              <w:jc w:val="center"/>
              <w:rPr>
                <w:sz w:val="24"/>
              </w:rPr>
            </w:pPr>
            <w:r>
              <w:rPr>
                <w:sz w:val="24"/>
              </w:rPr>
              <w:t>$1,307</w:t>
            </w:r>
          </w:p>
        </w:tc>
      </w:tr>
      <w:tr w:rsidR="00D13D50" w:rsidRPr="009D3BBD" w:rsidTr="00607573">
        <w:trPr>
          <w:trHeight w:val="540"/>
        </w:trPr>
        <w:tc>
          <w:tcPr>
            <w:tcW w:w="2280" w:type="dxa"/>
          </w:tcPr>
          <w:p w:rsidR="00D13D50" w:rsidRPr="00675A85" w:rsidRDefault="00D13D50" w:rsidP="00607573">
            <w:pPr>
              <w:jc w:val="center"/>
              <w:rPr>
                <w:sz w:val="24"/>
              </w:rPr>
            </w:pPr>
            <w:r w:rsidRPr="00675A85">
              <w:rPr>
                <w:sz w:val="24"/>
              </w:rPr>
              <w:t>8</w:t>
            </w:r>
          </w:p>
        </w:tc>
        <w:tc>
          <w:tcPr>
            <w:tcW w:w="2100" w:type="dxa"/>
          </w:tcPr>
          <w:p w:rsidR="00D13D50" w:rsidRPr="009D3BBD" w:rsidRDefault="00D13D50" w:rsidP="00607573">
            <w:pPr>
              <w:jc w:val="center"/>
              <w:rPr>
                <w:sz w:val="24"/>
              </w:rPr>
            </w:pPr>
            <w:r>
              <w:rPr>
                <w:sz w:val="24"/>
              </w:rPr>
              <w:t>$75,647</w:t>
            </w:r>
          </w:p>
        </w:tc>
        <w:tc>
          <w:tcPr>
            <w:tcW w:w="2430" w:type="dxa"/>
          </w:tcPr>
          <w:p w:rsidR="00D13D50" w:rsidRPr="009D3BBD" w:rsidRDefault="00D13D50" w:rsidP="00607573">
            <w:pPr>
              <w:jc w:val="center"/>
              <w:rPr>
                <w:sz w:val="24"/>
              </w:rPr>
            </w:pPr>
            <w:r>
              <w:rPr>
                <w:sz w:val="24"/>
              </w:rPr>
              <w:t>$6,304</w:t>
            </w:r>
          </w:p>
        </w:tc>
        <w:tc>
          <w:tcPr>
            <w:tcW w:w="2790" w:type="dxa"/>
          </w:tcPr>
          <w:p w:rsidR="00D13D50" w:rsidRPr="009D3BBD" w:rsidRDefault="00D13D50" w:rsidP="00607573">
            <w:pPr>
              <w:jc w:val="center"/>
              <w:rPr>
                <w:sz w:val="24"/>
              </w:rPr>
            </w:pPr>
            <w:r>
              <w:rPr>
                <w:sz w:val="24"/>
              </w:rPr>
              <w:t>$1,455</w:t>
            </w:r>
          </w:p>
        </w:tc>
      </w:tr>
      <w:tr w:rsidR="00D13D50" w:rsidRPr="009D3BBD" w:rsidTr="00607573">
        <w:trPr>
          <w:trHeight w:val="825"/>
        </w:trPr>
        <w:tc>
          <w:tcPr>
            <w:tcW w:w="2280" w:type="dxa"/>
          </w:tcPr>
          <w:p w:rsidR="00D13D50" w:rsidRPr="00675A85" w:rsidRDefault="00D13D50" w:rsidP="00607573">
            <w:pPr>
              <w:jc w:val="center"/>
              <w:rPr>
                <w:sz w:val="24"/>
              </w:rPr>
            </w:pPr>
            <w:r w:rsidRPr="00675A85">
              <w:rPr>
                <w:sz w:val="24"/>
              </w:rPr>
              <w:t>For each additional family member, add:</w:t>
            </w:r>
          </w:p>
        </w:tc>
        <w:tc>
          <w:tcPr>
            <w:tcW w:w="2100" w:type="dxa"/>
          </w:tcPr>
          <w:p w:rsidR="00D13D50" w:rsidRPr="009D3BBD" w:rsidRDefault="00D13D50" w:rsidP="00607573">
            <w:pPr>
              <w:jc w:val="center"/>
              <w:rPr>
                <w:sz w:val="24"/>
              </w:rPr>
            </w:pPr>
            <w:r>
              <w:rPr>
                <w:sz w:val="24"/>
              </w:rPr>
              <w:t>+ $7,696</w:t>
            </w:r>
          </w:p>
        </w:tc>
        <w:tc>
          <w:tcPr>
            <w:tcW w:w="2430" w:type="dxa"/>
          </w:tcPr>
          <w:p w:rsidR="00D13D50" w:rsidRPr="009D3BBD" w:rsidRDefault="00D13D50" w:rsidP="00607573">
            <w:pPr>
              <w:jc w:val="center"/>
              <w:rPr>
                <w:sz w:val="24"/>
              </w:rPr>
            </w:pPr>
            <w:r>
              <w:rPr>
                <w:sz w:val="24"/>
              </w:rPr>
              <w:t>+ $642</w:t>
            </w:r>
          </w:p>
        </w:tc>
        <w:tc>
          <w:tcPr>
            <w:tcW w:w="2790" w:type="dxa"/>
          </w:tcPr>
          <w:p w:rsidR="00D13D50" w:rsidRPr="009D3BBD" w:rsidRDefault="00D13D50" w:rsidP="00607573">
            <w:pPr>
              <w:jc w:val="center"/>
              <w:rPr>
                <w:sz w:val="24"/>
              </w:rPr>
            </w:pPr>
            <w:r>
              <w:rPr>
                <w:sz w:val="24"/>
              </w:rPr>
              <w:t>+ $148</w:t>
            </w:r>
          </w:p>
        </w:tc>
      </w:tr>
    </w:tbl>
    <w:p w:rsidR="00D13D50" w:rsidRPr="009D3BBD" w:rsidRDefault="00D13D50" w:rsidP="00D13D50">
      <w:pPr>
        <w:jc w:val="center"/>
        <w:rPr>
          <w:sz w:val="24"/>
        </w:rPr>
      </w:pPr>
    </w:p>
    <w:p w:rsidR="00D13D50" w:rsidRPr="009D3BBD" w:rsidRDefault="00D13D50" w:rsidP="00D13D50">
      <w:pPr>
        <w:pStyle w:val="Default"/>
        <w:jc w:val="center"/>
      </w:pPr>
    </w:p>
    <w:p w:rsidR="00D13D50" w:rsidRPr="00ED0082" w:rsidRDefault="00D13D50" w:rsidP="00ED0082">
      <w:pPr>
        <w:widowControl w:val="0"/>
        <w:tabs>
          <w:tab w:val="left" w:pos="900"/>
        </w:tabs>
        <w:spacing w:line="286" w:lineRule="auto"/>
        <w:rPr>
          <w:rFonts w:ascii="Arial" w:hAnsi="Arial" w:cs="Arial"/>
          <w:sz w:val="32"/>
          <w:szCs w:val="32"/>
        </w:rPr>
      </w:pPr>
    </w:p>
    <w:sectPr w:rsidR="00D13D50" w:rsidRPr="00ED0082" w:rsidSect="00D13D50">
      <w:headerReference w:type="default" r:id="rId9"/>
      <w:headerReference w:type="first" r:id="rId10"/>
      <w:pgSz w:w="12240" w:h="15840"/>
      <w:pgMar w:top="1166" w:right="1166" w:bottom="274" w:left="116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80" w:rsidRDefault="00CC7C80" w:rsidP="00ED0082">
      <w:pPr>
        <w:spacing w:after="0" w:line="240" w:lineRule="auto"/>
      </w:pPr>
      <w:r>
        <w:separator/>
      </w:r>
    </w:p>
  </w:endnote>
  <w:endnote w:type="continuationSeparator" w:id="0">
    <w:p w:rsidR="00CC7C80" w:rsidRDefault="00CC7C80" w:rsidP="00ED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80" w:rsidRDefault="00CC7C80" w:rsidP="00ED0082">
      <w:pPr>
        <w:spacing w:after="0" w:line="240" w:lineRule="auto"/>
      </w:pPr>
      <w:r>
        <w:separator/>
      </w:r>
    </w:p>
  </w:footnote>
  <w:footnote w:type="continuationSeparator" w:id="0">
    <w:p w:rsidR="00CC7C80" w:rsidRDefault="00CC7C80" w:rsidP="00ED0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082" w:rsidRPr="00D13D50" w:rsidRDefault="00D13D50" w:rsidP="00D13D50">
    <w:pPr>
      <w:pStyle w:val="Header"/>
      <w:tabs>
        <w:tab w:val="clear" w:pos="4680"/>
        <w:tab w:val="clear" w:pos="9360"/>
        <w:tab w:val="center" w:pos="7200"/>
        <w:tab w:val="right" w:pos="14400"/>
      </w:tabs>
      <w:jc w:val="center"/>
      <w:rPr>
        <w:sz w:val="72"/>
        <w:szCs w:val="72"/>
      </w:rPr>
    </w:pPr>
    <w:r>
      <w:rPr>
        <w:color w:val="auto"/>
      </w:rPr>
      <w:tab/>
    </w:r>
    <w:r w:rsidRPr="00D13D50">
      <w:rPr>
        <w:color w:val="auto"/>
        <w:sz w:val="72"/>
        <w:szCs w:val="7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50" w:rsidRDefault="00D13D50" w:rsidP="00D13D50">
    <w:pPr>
      <w:pStyle w:val="Header"/>
      <w:tabs>
        <w:tab w:val="right" w:pos="14400"/>
      </w:tabs>
      <w:jc w:val="center"/>
    </w:pPr>
    <w:r w:rsidRPr="00D13D50">
      <w:rPr>
        <w:color w:val="auto"/>
        <w:sz w:val="72"/>
        <w:szCs w:val="72"/>
      </w:rPr>
      <w:t>NON-DISCRIMINATION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82"/>
    <w:rsid w:val="000812F0"/>
    <w:rsid w:val="00174D8A"/>
    <w:rsid w:val="005E02ED"/>
    <w:rsid w:val="0060219E"/>
    <w:rsid w:val="00615F6E"/>
    <w:rsid w:val="00A2476E"/>
    <w:rsid w:val="00CC7C80"/>
    <w:rsid w:val="00D13D50"/>
    <w:rsid w:val="00D8725F"/>
    <w:rsid w:val="00DA0710"/>
    <w:rsid w:val="00EA5016"/>
    <w:rsid w:val="00ED0082"/>
    <w:rsid w:val="00F2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9E"/>
    <w:pPr>
      <w:spacing w:after="120" w:line="285" w:lineRule="auto"/>
    </w:pPr>
    <w:rPr>
      <w:rFonts w:eastAsia="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219E"/>
    <w:rPr>
      <w:color w:val="0000FF"/>
      <w:u w:val="single"/>
    </w:rPr>
  </w:style>
  <w:style w:type="paragraph" w:customStyle="1" w:styleId="Default">
    <w:name w:val="Default"/>
    <w:rsid w:val="0060219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ED0082"/>
    <w:pPr>
      <w:tabs>
        <w:tab w:val="center" w:pos="4680"/>
        <w:tab w:val="right" w:pos="9360"/>
      </w:tabs>
    </w:pPr>
  </w:style>
  <w:style w:type="character" w:customStyle="1" w:styleId="HeaderChar">
    <w:name w:val="Header Char"/>
    <w:link w:val="Header"/>
    <w:uiPriority w:val="99"/>
    <w:rsid w:val="00ED0082"/>
    <w:rPr>
      <w:rFonts w:eastAsia="Times New Roman"/>
      <w:color w:val="000000"/>
      <w:kern w:val="28"/>
    </w:rPr>
  </w:style>
  <w:style w:type="paragraph" w:styleId="Footer">
    <w:name w:val="footer"/>
    <w:basedOn w:val="Normal"/>
    <w:link w:val="FooterChar"/>
    <w:uiPriority w:val="99"/>
    <w:unhideWhenUsed/>
    <w:rsid w:val="00ED0082"/>
    <w:pPr>
      <w:tabs>
        <w:tab w:val="center" w:pos="4680"/>
        <w:tab w:val="right" w:pos="9360"/>
      </w:tabs>
    </w:pPr>
  </w:style>
  <w:style w:type="character" w:customStyle="1" w:styleId="FooterChar">
    <w:name w:val="Footer Char"/>
    <w:link w:val="Footer"/>
    <w:uiPriority w:val="99"/>
    <w:rsid w:val="00ED0082"/>
    <w:rPr>
      <w:rFonts w:eastAsia="Times New Roman"/>
      <w:color w:val="000000"/>
      <w:kern w:val="28"/>
    </w:rPr>
  </w:style>
  <w:style w:type="paragraph" w:styleId="BalloonText">
    <w:name w:val="Balloon Text"/>
    <w:basedOn w:val="Normal"/>
    <w:link w:val="BalloonTextChar"/>
    <w:uiPriority w:val="99"/>
    <w:semiHidden/>
    <w:unhideWhenUsed/>
    <w:rsid w:val="00D13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50"/>
    <w:rPr>
      <w:rFonts w:ascii="Segoe UI" w:eastAsia="Times New Roman" w:hAnsi="Segoe UI" w:cs="Segoe UI"/>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9E"/>
    <w:pPr>
      <w:spacing w:after="120" w:line="285" w:lineRule="auto"/>
    </w:pPr>
    <w:rPr>
      <w:rFonts w:eastAsia="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219E"/>
    <w:rPr>
      <w:color w:val="0000FF"/>
      <w:u w:val="single"/>
    </w:rPr>
  </w:style>
  <w:style w:type="paragraph" w:customStyle="1" w:styleId="Default">
    <w:name w:val="Default"/>
    <w:rsid w:val="0060219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ED0082"/>
    <w:pPr>
      <w:tabs>
        <w:tab w:val="center" w:pos="4680"/>
        <w:tab w:val="right" w:pos="9360"/>
      </w:tabs>
    </w:pPr>
  </w:style>
  <w:style w:type="character" w:customStyle="1" w:styleId="HeaderChar">
    <w:name w:val="Header Char"/>
    <w:link w:val="Header"/>
    <w:uiPriority w:val="99"/>
    <w:rsid w:val="00ED0082"/>
    <w:rPr>
      <w:rFonts w:eastAsia="Times New Roman"/>
      <w:color w:val="000000"/>
      <w:kern w:val="28"/>
    </w:rPr>
  </w:style>
  <w:style w:type="paragraph" w:styleId="Footer">
    <w:name w:val="footer"/>
    <w:basedOn w:val="Normal"/>
    <w:link w:val="FooterChar"/>
    <w:uiPriority w:val="99"/>
    <w:unhideWhenUsed/>
    <w:rsid w:val="00ED0082"/>
    <w:pPr>
      <w:tabs>
        <w:tab w:val="center" w:pos="4680"/>
        <w:tab w:val="right" w:pos="9360"/>
      </w:tabs>
    </w:pPr>
  </w:style>
  <w:style w:type="character" w:customStyle="1" w:styleId="FooterChar">
    <w:name w:val="Footer Char"/>
    <w:link w:val="Footer"/>
    <w:uiPriority w:val="99"/>
    <w:rsid w:val="00ED0082"/>
    <w:rPr>
      <w:rFonts w:eastAsia="Times New Roman"/>
      <w:color w:val="000000"/>
      <w:kern w:val="28"/>
    </w:rPr>
  </w:style>
  <w:style w:type="paragraph" w:styleId="BalloonText">
    <w:name w:val="Balloon Text"/>
    <w:basedOn w:val="Normal"/>
    <w:link w:val="BalloonTextChar"/>
    <w:uiPriority w:val="99"/>
    <w:semiHidden/>
    <w:unhideWhenUsed/>
    <w:rsid w:val="00D13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50"/>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20131582\AppData\Local\Microsoft\Windows\Temporary%20Internet%20Files\Content.IE5\NCPH4T2I\2015%20Non-Discrimination%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 Non-Discrimination Statement.dot</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NON-DISCRIMINATION STATEMENT</vt:lpstr>
    </vt:vector>
  </TitlesOfParts>
  <Company/>
  <LinksUpToDate>false</LinksUpToDate>
  <CharactersWithSpaces>2337</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NON-DISCRIMINATION STATEMENT</dc:title>
  <dc:creator>CSAdmin</dc:creator>
  <cp:lastModifiedBy>User</cp:lastModifiedBy>
  <cp:revision>2</cp:revision>
  <cp:lastPrinted>2015-12-07T21:18:00Z</cp:lastPrinted>
  <dcterms:created xsi:type="dcterms:W3CDTF">2016-01-19T20:24:00Z</dcterms:created>
  <dcterms:modified xsi:type="dcterms:W3CDTF">2016-01-19T20:24:00Z</dcterms:modified>
</cp:coreProperties>
</file>